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70460" w14:textId="7EFD1004" w:rsidR="001B5CC6" w:rsidRPr="001B5CC6" w:rsidRDefault="00303D1C" w:rsidP="00303D1C">
      <w:pPr>
        <w:jc w:val="center"/>
      </w:pPr>
      <w:r w:rsidRPr="00303D1C">
        <w:rPr>
          <w:rFonts w:ascii="华文中宋" w:eastAsia="华文中宋" w:hAnsi="华文中宋" w:hint="eastAsia"/>
          <w:b/>
          <w:bCs/>
          <w:sz w:val="44"/>
          <w:szCs w:val="44"/>
        </w:rPr>
        <w:t>金专业建设观测点</w:t>
      </w:r>
      <w:r w:rsidR="001B5CC6" w:rsidRPr="001B5CC6">
        <w:t> </w:t>
      </w:r>
    </w:p>
    <w:tbl>
      <w:tblPr>
        <w:tblW w:w="87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5"/>
        <w:gridCol w:w="1387"/>
        <w:gridCol w:w="6178"/>
      </w:tblGrid>
      <w:tr w:rsidR="001B5CC6" w:rsidRPr="00303D1C" w14:paraId="0D327A8B" w14:textId="77777777" w:rsidTr="00303D1C">
        <w:trPr>
          <w:trHeight w:val="565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FE385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b/>
                <w:bCs/>
                <w:sz w:val="21"/>
                <w:szCs w:val="21"/>
              </w:rPr>
              <w:t>一级指标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8168C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b/>
                <w:bCs/>
                <w:sz w:val="21"/>
                <w:szCs w:val="21"/>
              </w:rPr>
              <w:t>二级指标</w:t>
            </w:r>
          </w:p>
        </w:tc>
        <w:tc>
          <w:tcPr>
            <w:tcW w:w="6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B94C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b/>
                <w:bCs/>
                <w:sz w:val="21"/>
                <w:szCs w:val="21"/>
              </w:rPr>
              <w:t>指标说明</w:t>
            </w:r>
          </w:p>
        </w:tc>
      </w:tr>
      <w:tr w:rsidR="001B5CC6" w:rsidRPr="00303D1C" w14:paraId="4F820189" w14:textId="77777777" w:rsidTr="00303D1C">
        <w:trPr>
          <w:trHeight w:val="1397"/>
        </w:trPr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3E97B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基本</w:t>
            </w:r>
          </w:p>
          <w:p w14:paraId="1970FC5C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定位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E25B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1.1基本定位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ADF6F" w14:textId="59476173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1.专业定位准确，对接</w:t>
            </w:r>
            <w:r w:rsidR="00303D1C">
              <w:rPr>
                <w:rFonts w:ascii="仿宋" w:eastAsia="仿宋" w:hAnsi="仿宋" w:hint="eastAsia"/>
                <w:sz w:val="21"/>
                <w:szCs w:val="21"/>
              </w:rPr>
              <w:t>生物产业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。</w:t>
            </w:r>
          </w:p>
          <w:p w14:paraId="296A975E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2.专业特色鲜明，与学校办学面向、学校发展规划高度吻合。</w:t>
            </w:r>
          </w:p>
          <w:p w14:paraId="793DB627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3.专业人才培养目标定位准确。</w:t>
            </w:r>
          </w:p>
        </w:tc>
      </w:tr>
      <w:tr w:rsidR="001B5CC6" w:rsidRPr="00303D1C" w14:paraId="5E201E89" w14:textId="77777777" w:rsidTr="00303D1C">
        <w:trPr>
          <w:trHeight w:val="4979"/>
        </w:trPr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1B8EA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建设</w:t>
            </w:r>
          </w:p>
          <w:p w14:paraId="109FC22D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基础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8F1AB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2.1团队水平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C053D" w14:textId="26999DF6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</w:t>
            </w:r>
            <w:bookmarkStart w:id="0" w:name="OLE_LINK1"/>
            <w:r w:rsidRPr="00303D1C">
              <w:rPr>
                <w:rFonts w:ascii="仿宋" w:eastAsia="仿宋" w:hAnsi="仿宋"/>
                <w:sz w:val="21"/>
                <w:szCs w:val="21"/>
              </w:rPr>
              <w:t>专业带头人</w:t>
            </w:r>
            <w:bookmarkEnd w:id="0"/>
            <w:r w:rsidRPr="00303D1C">
              <w:rPr>
                <w:rFonts w:ascii="仿宋" w:eastAsia="仿宋" w:hAnsi="仿宋"/>
                <w:sz w:val="21"/>
                <w:szCs w:val="21"/>
              </w:rPr>
              <w:t>具有本专业本科以上学历，副高以上职称，从事本专业教学6年以上，熟悉</w:t>
            </w:r>
            <w:r w:rsidR="00303D1C">
              <w:rPr>
                <w:rFonts w:ascii="仿宋" w:eastAsia="仿宋" w:hAnsi="仿宋" w:hint="eastAsia"/>
                <w:sz w:val="21"/>
                <w:szCs w:val="21"/>
              </w:rPr>
              <w:t>生物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产业和本专业发展现状与趋势，每学年参加行业企业活动4次以上；获</w:t>
            </w:r>
            <w:r w:rsidR="00303D1C">
              <w:rPr>
                <w:rFonts w:ascii="仿宋" w:eastAsia="仿宋" w:hAnsi="仿宋" w:hint="eastAsia"/>
                <w:sz w:val="21"/>
                <w:szCs w:val="21"/>
              </w:rPr>
              <w:t>校级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教学成果奖一等奖以上奖项，或近三年获省技能大赛、教学能力比赛二等奖以上、主持或参与市级以上课题研究并结题；是市级以上专业带头人、教学名师、特级教师、领军人才、教学团队或名师工作室领衔人、相关行业省职业教育行指委（教指委）成员等。</w:t>
            </w:r>
          </w:p>
          <w:p w14:paraId="20B1C004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专业具备专兼结合的“双师型”教学团队；团队成员中专任专业教师数与本专业在籍学生数比达到1:27以上；团队成员均为本科以上学历，研究生学历（或硕士以上学位）30%以上；高级职称30%以上；其中专任专业教师中“双师型”教师比例70%以上；团队成员中行业、企业兼职教师占专业教师比例20%左右，均具有中级以上技术职称或技师以上职业资格证书，30%以上具有高级职称或高级技师职业资格。</w:t>
            </w:r>
          </w:p>
        </w:tc>
      </w:tr>
      <w:tr w:rsidR="001B5CC6" w:rsidRPr="00303D1C" w14:paraId="382D003A" w14:textId="77777777" w:rsidTr="00303D1C">
        <w:trPr>
          <w:trHeight w:val="3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059B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F9E0B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2.2基地运行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F0BE7" w14:textId="378BA629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校内外实践教学基地设施先进、管理规范，基地建设与实践教学项目设计相适应、相配套，其中校内实训基地生均仪器设备值10000元以上；实训场所建成数字化教学环境，实现信息点全覆盖，百兆带宽到桌面，计算机数量满足实训教学和管理需要。有与专业教学配套的信息化实训资源平台。</w:t>
            </w:r>
          </w:p>
          <w:p w14:paraId="581852CA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融合企业管理理念，设立专门管理机构，人员配置齐全，管理制度健全；利用信息技术，实现实验（训）资产管理、计划安排、数据采集、考核评价信息化管理；实验实训开出率100%，专业各实验（训）室平均利用课时超过500课时/学年（含社会培训、技术服务）；实验实训室共享率达到60%（共享率计算办法：各实验（训）室平均服务专业数/本专业专业数）。</w:t>
            </w:r>
          </w:p>
        </w:tc>
      </w:tr>
      <w:tr w:rsidR="001B5CC6" w:rsidRPr="00303D1C" w14:paraId="4479F81F" w14:textId="77777777" w:rsidTr="00303D1C">
        <w:trPr>
          <w:trHeight w:val="3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E79AD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EBC0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2.3学生质量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17FF6" w14:textId="449EEE8A" w:rsidR="001B5CC6" w:rsidRPr="00303D1C" w:rsidRDefault="001B5CC6" w:rsidP="001B5CC6">
            <w:pPr>
              <w:rPr>
                <w:rFonts w:ascii="仿宋" w:eastAsia="仿宋" w:hAnsi="仿宋" w:hint="eastAsia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1.生源质量好，在籍学生规模保持相对稳定。连续招生</w:t>
            </w:r>
            <w:r w:rsidR="008C35D3">
              <w:rPr>
                <w:rFonts w:ascii="仿宋" w:eastAsia="仿宋" w:hAnsi="仿宋" w:hint="eastAsia"/>
                <w:sz w:val="21"/>
                <w:szCs w:val="21"/>
              </w:rPr>
              <w:t>5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年以上</w:t>
            </w:r>
            <w:r w:rsidR="000F7AD3">
              <w:rPr>
                <w:rFonts w:ascii="仿宋" w:eastAsia="仿宋" w:hAnsi="仿宋" w:hint="eastAsia"/>
                <w:sz w:val="21"/>
                <w:szCs w:val="21"/>
              </w:rPr>
              <w:t>，</w:t>
            </w:r>
            <w:r w:rsidR="000F7AD3" w:rsidRPr="000F7AD3">
              <w:rPr>
                <w:rFonts w:ascii="仿宋" w:eastAsia="仿宋" w:hAnsi="仿宋"/>
                <w:sz w:val="21"/>
                <w:szCs w:val="21"/>
              </w:rPr>
              <w:t>，招生计划完成率不低于90%</w:t>
            </w:r>
            <w:r w:rsidR="000F7AD3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14:paraId="1D56EB98" w14:textId="50FBD121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lastRenderedPageBreak/>
              <w:t>2.毕业生具有较强的计算机应用能力、语言表达能力、社会交往能力，相关应用水平等级考试取证率70%以上；近三年本专业学生在技能大赛、创新创业大赛中获得省级三等奖以上奖项。</w:t>
            </w:r>
          </w:p>
          <w:p w14:paraId="2A98D6EC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建立毕业生就业跟踪调查机制，学生对口就业率、用人单位满意度高、学生就业满意度高，毕业生就业率95%以上，对口就业率80%以上，本地就业率75%以上，专业满意度90%，用人单位满意度90%以上；开展职业生涯指导和创业教育，有本专业学生创业实践基地和创业项目。</w:t>
            </w:r>
          </w:p>
        </w:tc>
      </w:tr>
      <w:tr w:rsidR="001B5CC6" w:rsidRPr="00303D1C" w14:paraId="2D1B24EA" w14:textId="77777777" w:rsidTr="00303D1C">
        <w:trPr>
          <w:trHeight w:val="3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095AE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AF493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2.4影响力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865E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1.专业建设行业优势明显，与产业对接紧密，有较强社会影响力，有省级及以上专业建设与教学改革荣誉、奖励。</w:t>
            </w:r>
          </w:p>
          <w:p w14:paraId="3EF08B41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2.专业建设特色鲜明，充分体现信息化、国际化、个性化和多样化，形成原创性范式和经验，有不少于1个建设成果。</w:t>
            </w:r>
          </w:p>
        </w:tc>
      </w:tr>
      <w:tr w:rsidR="001B5CC6" w:rsidRPr="00303D1C" w14:paraId="5F63026F" w14:textId="77777777" w:rsidTr="00303D1C">
        <w:trPr>
          <w:trHeight w:val="359"/>
        </w:trPr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3F8DB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建设</w:t>
            </w:r>
          </w:p>
          <w:p w14:paraId="674EA6D9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内容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3C300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3.1人才培养模式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CAD9E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1.加强党的全面领导，落实立德树人根本任务，推进“三全育人”，构建德智体美劳全面发展的人才培养体系。</w:t>
            </w:r>
          </w:p>
          <w:p w14:paraId="4FDD5F56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2.深化产教融合、校企合作，以专业为单元，开展政府引导、行业参与、社会支持、企业和职业学校双主体育人的中国特色学徒制办学实践。</w:t>
            </w:r>
          </w:p>
          <w:p w14:paraId="4DE82F14" w14:textId="4D756BD4" w:rsidR="001B5CC6" w:rsidRPr="00303D1C" w:rsidRDefault="001B5CC6" w:rsidP="008C35D3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3.严格执行专业人才培养方案，吸收行业企业发展的新知识、新技术、新工艺、新规范，校企合作滚动修订实施性人才培养方案。</w:t>
            </w:r>
          </w:p>
        </w:tc>
      </w:tr>
      <w:tr w:rsidR="001B5CC6" w:rsidRPr="00303D1C" w14:paraId="7B4A0312" w14:textId="77777777" w:rsidTr="00303D1C">
        <w:trPr>
          <w:trHeight w:val="41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132F0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C207D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3.2课程体系与教学资源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74CA1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1.开展职业岗位调研分析，形成专业岗位能力分析报告，专业课程设置和教学要求充分运用调研分析结果。</w:t>
            </w:r>
          </w:p>
          <w:p w14:paraId="1D338193" w14:textId="70158296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2.开齐开足开好思政课程，课程思政与思政课程同向同行，至少有</w:t>
            </w:r>
            <w:r w:rsidR="008C35D3">
              <w:rPr>
                <w:rFonts w:ascii="仿宋" w:eastAsia="仿宋" w:hAnsi="仿宋" w:hint="eastAsia"/>
                <w:sz w:val="21"/>
                <w:szCs w:val="21"/>
              </w:rPr>
              <w:t>3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门课程系统化设计课程思政。</w:t>
            </w:r>
          </w:p>
          <w:p w14:paraId="5BFEAA02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3.校企共同设计专业课程体系，具备完善的专业课程标准（教学要求）。</w:t>
            </w:r>
          </w:p>
          <w:p w14:paraId="53CD051D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4.线上线下课程资源丰富，有专业课程资源库或在线课程，资源共享率高。</w:t>
            </w:r>
          </w:p>
        </w:tc>
      </w:tr>
      <w:tr w:rsidR="001B5CC6" w:rsidRPr="00303D1C" w14:paraId="4939469F" w14:textId="77777777" w:rsidTr="00303D1C">
        <w:trPr>
          <w:trHeight w:val="201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4CC10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56BD5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3.3教材与教法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CB68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1.严格执行教材选用制度，公共基础课统一使用规定教材，专业课、实践课按要求选用教材。</w:t>
            </w:r>
          </w:p>
          <w:p w14:paraId="6D262687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2.教材建设规划合理，校企合作开发新形态一体化教材、工作手册式教材、活页式教材等，开发新型教材不少于1套。</w:t>
            </w:r>
          </w:p>
          <w:p w14:paraId="6BA0E966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3.深化“课堂革命”，校企共同推进新型教学方式、教学方法和教学模式改革，课堂教学学生参与度高、学生获得感强。</w:t>
            </w:r>
          </w:p>
          <w:p w14:paraId="1726DEAD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4.信息技术深度融入教育教学，适应“互联网+职业教育”新要求，建有本专业适用的数字化教学平台。</w:t>
            </w:r>
          </w:p>
        </w:tc>
      </w:tr>
      <w:tr w:rsidR="001B5CC6" w:rsidRPr="00303D1C" w14:paraId="175BACCD" w14:textId="77777777" w:rsidTr="00303D1C">
        <w:trPr>
          <w:trHeight w:val="6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72F4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EB29A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3.4教学评价与改进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6B408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以学习者的职业道德、技术技能水平和就业质量为核心，系统制定专业人才培养质量评价标准，改进结果评价、强化过程评价、探索增值评价、健全综合评价，全面准确、客观公正评价学生的素质、知识、技能。</w:t>
            </w:r>
          </w:p>
          <w:p w14:paraId="49C57AEF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2.实现质量评价方式多元化，广泛吸收学生、家长、行业企业、研究机构和其他社会组织参与质量评价，积极探索第三方参与的教学质量评价机制。</w:t>
            </w:r>
          </w:p>
          <w:p w14:paraId="380A0F8C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3.扎实推进教考分离，定期开展教学过程监测、评价与反馈，引导教师持续优化教学组织方式、改进教学方法，提高教学效率。</w:t>
            </w:r>
          </w:p>
          <w:p w14:paraId="750336D6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4.定期汇总行业企业和毕业生对人才培养工作的意见建议，并反馈指导人才培养工作。</w:t>
            </w:r>
          </w:p>
        </w:tc>
      </w:tr>
      <w:tr w:rsidR="001B5CC6" w:rsidRPr="00303D1C" w14:paraId="4A74934C" w14:textId="77777777" w:rsidTr="00303D1C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0EE18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ADC58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3.5教学团队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3FCB4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1.团队建设规划科学、目标明确、制度规范、措施得力，定期开展活动，富有成效。</w:t>
            </w:r>
          </w:p>
          <w:p w14:paraId="2A224BFA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2.实施教师能力提升专项培训，高质量落实教师定期到企业实践的制度，实现5年一周期全员轮训、专业教师企业实践平均每年一个月以上。</w:t>
            </w:r>
          </w:p>
          <w:p w14:paraId="00C96D59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3.行业企业成员积极参与课程改革、课堂教学，有明显成效。</w:t>
            </w:r>
          </w:p>
        </w:tc>
      </w:tr>
      <w:tr w:rsidR="001B5CC6" w:rsidRPr="00303D1C" w14:paraId="32AFC626" w14:textId="77777777" w:rsidTr="00303D1C">
        <w:trPr>
          <w:trHeight w:val="166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3ABA4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CA080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3.6实训基地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613F6" w14:textId="2636C2BE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1.积极推动实训基地升级改造，专业相关实训基地年均投入</w:t>
            </w:r>
            <w:r w:rsidR="000C41A0">
              <w:rPr>
                <w:rFonts w:ascii="仿宋" w:eastAsia="仿宋" w:hAnsi="仿宋" w:hint="eastAsia"/>
                <w:sz w:val="21"/>
                <w:szCs w:val="21"/>
              </w:rPr>
              <w:t>200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万元以上。</w:t>
            </w:r>
          </w:p>
          <w:p w14:paraId="0C788675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2.校企协同开展实训基地虚拟仿真建设，打造成集教学、实训、培训、科研、竞赛、科普等功能于一体的综合性实训基地。</w:t>
            </w:r>
          </w:p>
          <w:p w14:paraId="06CAF1ED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3.积极调整校外实训基地，紧密对接人才培养方案。</w:t>
            </w:r>
          </w:p>
        </w:tc>
      </w:tr>
      <w:tr w:rsidR="001B5CC6" w:rsidRPr="00303D1C" w14:paraId="3A0DD7BC" w14:textId="77777777" w:rsidTr="00303D1C">
        <w:trPr>
          <w:trHeight w:val="200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16A5C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1AFE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3.7服务发展能力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A7EBA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1.面向服务领域开展技术开发、技术转让、技术咨询与技术服务，校企协同成果转化运行机制完善，科技成果转化与创新创业的衔接成果显著。</w:t>
            </w:r>
          </w:p>
          <w:p w14:paraId="68FC9A88" w14:textId="580E6592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2.开展各类职业技能培训，每年承担专业相关领域的社会培训人次达到专业在籍学生数</w:t>
            </w:r>
            <w:r w:rsidR="000C41A0">
              <w:rPr>
                <w:rFonts w:ascii="仿宋" w:eastAsia="仿宋" w:hAnsi="仿宋" w:hint="eastAsia"/>
                <w:sz w:val="21"/>
                <w:szCs w:val="21"/>
              </w:rPr>
              <w:t>的2倍</w:t>
            </w:r>
            <w:r w:rsidRPr="00303D1C">
              <w:rPr>
                <w:rFonts w:ascii="仿宋" w:eastAsia="仿宋" w:hAnsi="仿宋"/>
                <w:sz w:val="21"/>
                <w:szCs w:val="21"/>
              </w:rPr>
              <w:t>。</w:t>
            </w:r>
          </w:p>
          <w:p w14:paraId="3DC14200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3.响应“一带一路”倡议，积极参与开发国际通用专业标准和教学资源，开展国际职业教育服务。</w:t>
            </w:r>
          </w:p>
        </w:tc>
      </w:tr>
      <w:tr w:rsidR="001B5CC6" w:rsidRPr="00303D1C" w14:paraId="7635706C" w14:textId="77777777" w:rsidTr="00303D1C">
        <w:trPr>
          <w:trHeight w:val="1065"/>
        </w:trPr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A2A0D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保障</w:t>
            </w:r>
          </w:p>
          <w:p w14:paraId="46CC1DF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措施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7A158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4.1体制机制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58169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1.建立专业建设的相关组织，制定专业管理运行制度，统筹协调专业管理。</w:t>
            </w:r>
          </w:p>
          <w:p w14:paraId="0BA28E30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2.专业与产业的契合度高，建立对接产业、动态调整、自我完善机制。</w:t>
            </w:r>
          </w:p>
        </w:tc>
      </w:tr>
      <w:tr w:rsidR="001B5CC6" w:rsidRPr="00303D1C" w14:paraId="65210B08" w14:textId="77777777" w:rsidTr="00303D1C">
        <w:trPr>
          <w:trHeight w:val="7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6C6C8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4E80F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4.2经费保障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5599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1.年度预算中设置专项经费保障专业建设，经费使用规范。</w:t>
            </w:r>
          </w:p>
          <w:p w14:paraId="254BB9BB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2.建设经费筹措渠道广泛，政行校企积极投入资金或设备。</w:t>
            </w:r>
          </w:p>
        </w:tc>
      </w:tr>
      <w:tr w:rsidR="001B5CC6" w:rsidRPr="00303D1C" w14:paraId="7F435B80" w14:textId="77777777" w:rsidTr="00303D1C">
        <w:trPr>
          <w:trHeight w:val="128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1126A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C448D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4.3质量保证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E991B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1.建立专业教学诊断与改进机制，实现数据实时采集、问题及时诊断、措施改进得力，成效明显。</w:t>
            </w:r>
          </w:p>
          <w:p w14:paraId="2DC49061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2.应用数字化管理与服务平台，信息技术和智能技术深度融入专业建设管理全过程，实现人员管理、资产管理、计划安排、数据采集、考核评价等信息化管理。</w:t>
            </w:r>
          </w:p>
          <w:p w14:paraId="68E39E78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3.严格执行学生、学籍、学分管理制度，开展各类学习成果的认定、积累和转换。</w:t>
            </w:r>
          </w:p>
        </w:tc>
      </w:tr>
      <w:tr w:rsidR="001B5CC6" w:rsidRPr="00303D1C" w14:paraId="3441FB21" w14:textId="77777777" w:rsidTr="00303D1C">
        <w:trPr>
          <w:trHeight w:val="1289"/>
        </w:trPr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A2BA5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预期</w:t>
            </w:r>
          </w:p>
          <w:p w14:paraId="45093361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成效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4F34C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5.1预期成果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66309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建设成果体现在服务产业、学生发展、团队发展、事业发展等方面，具有系统性、完整性、创新性，可定义、可考核、可测量。</w:t>
            </w:r>
          </w:p>
        </w:tc>
      </w:tr>
      <w:tr w:rsidR="001B5CC6" w:rsidRPr="00303D1C" w14:paraId="1EDA7733" w14:textId="77777777" w:rsidTr="00303D1C">
        <w:trPr>
          <w:trHeight w:val="128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BF6EE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CEF6A" w14:textId="77777777" w:rsidR="001B5CC6" w:rsidRPr="00303D1C" w:rsidRDefault="001B5CC6" w:rsidP="00303D1C">
            <w:pPr>
              <w:spacing w:after="0" w:line="24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5.2标志性成果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97F02" w14:textId="77777777" w:rsidR="001B5CC6" w:rsidRPr="00303D1C" w:rsidRDefault="001B5CC6" w:rsidP="001B5CC6">
            <w:pPr>
              <w:rPr>
                <w:rFonts w:ascii="仿宋" w:eastAsia="仿宋" w:hAnsi="仿宋"/>
                <w:sz w:val="21"/>
                <w:szCs w:val="21"/>
              </w:rPr>
            </w:pPr>
            <w:r w:rsidRPr="00303D1C">
              <w:rPr>
                <w:rFonts w:ascii="仿宋" w:eastAsia="仿宋" w:hAnsi="仿宋"/>
                <w:sz w:val="21"/>
                <w:szCs w:val="21"/>
              </w:rPr>
              <w:t>标志性成果体现在教学改革、人才培养、产教融合、育训结合等方面，具有较强的代表性和借鉴意义，在相关专业和院校间、行业间开放共享。</w:t>
            </w:r>
          </w:p>
        </w:tc>
      </w:tr>
    </w:tbl>
    <w:p w14:paraId="71473665" w14:textId="77777777" w:rsidR="00C11B57" w:rsidRPr="001B5CC6" w:rsidRDefault="00C11B57">
      <w:pPr>
        <w:rPr>
          <w:rFonts w:hint="eastAsia"/>
        </w:rPr>
      </w:pPr>
    </w:p>
    <w:sectPr w:rsidR="00C11B57" w:rsidRPr="001B5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CC6"/>
    <w:rsid w:val="000C41A0"/>
    <w:rsid w:val="000F7AD3"/>
    <w:rsid w:val="00110E52"/>
    <w:rsid w:val="001B5CC6"/>
    <w:rsid w:val="00303D1C"/>
    <w:rsid w:val="0060208A"/>
    <w:rsid w:val="008C35D3"/>
    <w:rsid w:val="00C11B57"/>
    <w:rsid w:val="00D6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ABE88"/>
  <w15:chartTrackingRefBased/>
  <w15:docId w15:val="{8F89E338-F1AD-425A-91B7-8FFBF53F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B5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5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5CC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5CC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5CC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5CC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5CC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5CC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B5CC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B5C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B5C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B5CC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B5CC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B5CC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B5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B5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B5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B5C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B5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5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B5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5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B5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5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5CC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5C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B5CC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5C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3</cp:revision>
  <dcterms:created xsi:type="dcterms:W3CDTF">2026-05-11T01:21:00Z</dcterms:created>
  <dcterms:modified xsi:type="dcterms:W3CDTF">2026-05-11T02:58:00Z</dcterms:modified>
</cp:coreProperties>
</file>