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F7D8" w14:textId="57B6F8A7" w:rsidR="00C11B57" w:rsidRPr="004D7A45" w:rsidRDefault="004D7A45" w:rsidP="004D7A45">
      <w:pPr>
        <w:jc w:val="center"/>
        <w:rPr>
          <w:rFonts w:ascii="华文中宋" w:eastAsia="华文中宋" w:hAnsi="华文中宋"/>
          <w:sz w:val="44"/>
          <w:szCs w:val="44"/>
        </w:rPr>
      </w:pPr>
      <w:r w:rsidRPr="004D7A45">
        <w:rPr>
          <w:rFonts w:ascii="华文中宋" w:eastAsia="华文中宋" w:hAnsi="华文中宋" w:hint="eastAsia"/>
          <w:sz w:val="44"/>
          <w:szCs w:val="44"/>
        </w:rPr>
        <w:t>金教师标准建设观测点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441"/>
      </w:tblGrid>
      <w:tr w:rsidR="004D7A45" w:rsidRPr="00F978BD" w14:paraId="14B754BD" w14:textId="77777777" w:rsidTr="00F978BD">
        <w:trPr>
          <w:trHeight w:val="330"/>
        </w:trPr>
        <w:tc>
          <w:tcPr>
            <w:tcW w:w="855" w:type="dxa"/>
            <w:shd w:val="clear" w:color="000000" w:fill="FFFFFF"/>
            <w:noWrap/>
            <w:vAlign w:val="center"/>
            <w:hideMark/>
          </w:tcPr>
          <w:p w14:paraId="7DD5CDA1" w14:textId="77777777" w:rsidR="004D7A45" w:rsidRPr="00F978BD" w:rsidRDefault="004D7A45"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指标名称</w:t>
            </w:r>
          </w:p>
        </w:tc>
        <w:tc>
          <w:tcPr>
            <w:tcW w:w="7441" w:type="dxa"/>
            <w:shd w:val="clear" w:color="000000" w:fill="FFFFFF"/>
            <w:noWrap/>
            <w:vAlign w:val="center"/>
            <w:hideMark/>
          </w:tcPr>
          <w:p w14:paraId="0E3EA7C8" w14:textId="0726E251" w:rsidR="004D7A45"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Pr>
                <w:rFonts w:ascii="仿宋" w:eastAsia="仿宋" w:hAnsi="仿宋" w:cs="Segoe UI" w:hint="eastAsia"/>
                <w:b/>
                <w:bCs/>
                <w:color w:val="0F1115"/>
                <w:kern w:val="0"/>
                <w:szCs w:val="22"/>
                <w14:ligatures w14:val="none"/>
              </w:rPr>
              <w:t>观测点</w:t>
            </w:r>
          </w:p>
        </w:tc>
      </w:tr>
      <w:tr w:rsidR="00F978BD" w:rsidRPr="00F978BD" w14:paraId="795078C6" w14:textId="77777777" w:rsidTr="00F978BD">
        <w:trPr>
          <w:trHeight w:val="1258"/>
        </w:trPr>
        <w:tc>
          <w:tcPr>
            <w:tcW w:w="855" w:type="dxa"/>
            <w:shd w:val="clear" w:color="000000" w:fill="FFFFFF"/>
            <w:noWrap/>
            <w:vAlign w:val="center"/>
            <w:hideMark/>
          </w:tcPr>
          <w:p w14:paraId="583A8929" w14:textId="13FEDC62"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师德风范</w:t>
            </w:r>
          </w:p>
        </w:tc>
        <w:tc>
          <w:tcPr>
            <w:tcW w:w="7441" w:type="dxa"/>
            <w:shd w:val="clear" w:color="000000" w:fill="FFFFFF"/>
            <w:noWrap/>
            <w:vAlign w:val="center"/>
            <w:hideMark/>
          </w:tcPr>
          <w:p w14:paraId="63AD7CDD"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1.标准中须有机融入教育家精神，将师德师风作为第一标准，明确师德考核“一票否决”要求。</w:t>
            </w:r>
          </w:p>
          <w:p w14:paraId="58ACD411" w14:textId="119C064D"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2.标准应体现教师立德树人根本任务，对课程思政实施能力提出具体要求。</w:t>
            </w:r>
          </w:p>
        </w:tc>
      </w:tr>
      <w:tr w:rsidR="00F978BD" w:rsidRPr="00F978BD" w14:paraId="12810506" w14:textId="77777777" w:rsidTr="00F978BD">
        <w:trPr>
          <w:trHeight w:val="1560"/>
        </w:trPr>
        <w:tc>
          <w:tcPr>
            <w:tcW w:w="855" w:type="dxa"/>
            <w:shd w:val="clear" w:color="000000" w:fill="FFFFFF"/>
            <w:noWrap/>
            <w:vAlign w:val="center"/>
            <w:hideMark/>
          </w:tcPr>
          <w:p w14:paraId="564F10E5"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企业经历与行业影响力</w:t>
            </w:r>
          </w:p>
        </w:tc>
        <w:tc>
          <w:tcPr>
            <w:tcW w:w="7441" w:type="dxa"/>
            <w:shd w:val="clear" w:color="000000" w:fill="FFFFFF"/>
            <w:noWrap/>
            <w:vAlign w:val="center"/>
            <w:hideMark/>
          </w:tcPr>
          <w:p w14:paraId="349098EE"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1.标准应分层次规定企业工作经历或实践年限，对接“双师型”教师认定要求。</w:t>
            </w:r>
          </w:p>
          <w:p w14:paraId="32481601" w14:textId="2A47C179"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2.对教师在企业技术攻关、标准制定、专利研发等方面的行业影响力提出可衡量的能力指标。</w:t>
            </w:r>
          </w:p>
        </w:tc>
      </w:tr>
      <w:tr w:rsidR="00F978BD" w:rsidRPr="00F978BD" w14:paraId="6B168FFF" w14:textId="77777777" w:rsidTr="00F978BD">
        <w:trPr>
          <w:trHeight w:val="1258"/>
        </w:trPr>
        <w:tc>
          <w:tcPr>
            <w:tcW w:w="855" w:type="dxa"/>
            <w:shd w:val="clear" w:color="000000" w:fill="FFFFFF"/>
            <w:noWrap/>
            <w:vAlign w:val="center"/>
            <w:hideMark/>
          </w:tcPr>
          <w:p w14:paraId="4CD5DBF3"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专业理论</w:t>
            </w:r>
          </w:p>
        </w:tc>
        <w:tc>
          <w:tcPr>
            <w:tcW w:w="7441" w:type="dxa"/>
            <w:shd w:val="clear" w:color="000000" w:fill="FFFFFF"/>
            <w:noWrap/>
            <w:vAlign w:val="center"/>
            <w:hideMark/>
          </w:tcPr>
          <w:p w14:paraId="781286D3"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w:t>
            </w:r>
            <w:r>
              <w:rPr>
                <w:rFonts w:ascii="仿宋" w:eastAsia="仿宋" w:hAnsi="仿宋" w:cs="Segoe UI" w:hint="eastAsia"/>
                <w:color w:val="0F1115"/>
                <w:kern w:val="0"/>
                <w:szCs w:val="22"/>
                <w14:ligatures w14:val="none"/>
              </w:rPr>
              <w:t>依据专业教学标准，</w:t>
            </w:r>
            <w:r w:rsidRPr="00F978BD">
              <w:rPr>
                <w:rFonts w:ascii="仿宋" w:eastAsia="仿宋" w:hAnsi="仿宋" w:cs="Segoe UI"/>
                <w:color w:val="0F1115"/>
                <w:kern w:val="0"/>
                <w:szCs w:val="22"/>
                <w14:ligatures w14:val="none"/>
              </w:rPr>
              <w:t>标准应明确教师须系统掌握本专业及相关学科的基础理论和专业知识，了解生物技术前沿动态。</w:t>
            </w:r>
          </w:p>
          <w:p w14:paraId="4363EA0B" w14:textId="79CB4249"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2.对不同层级的理论知识深度、广度提出差异化要求，能跟踪产业发展对知识更新的需求。</w:t>
            </w:r>
          </w:p>
        </w:tc>
      </w:tr>
      <w:tr w:rsidR="00F978BD" w:rsidRPr="00F978BD" w14:paraId="4BA7CA20" w14:textId="77777777" w:rsidTr="00F978BD">
        <w:trPr>
          <w:trHeight w:val="1258"/>
        </w:trPr>
        <w:tc>
          <w:tcPr>
            <w:tcW w:w="855" w:type="dxa"/>
            <w:shd w:val="clear" w:color="000000" w:fill="FFFFFF"/>
            <w:noWrap/>
            <w:vAlign w:val="center"/>
            <w:hideMark/>
          </w:tcPr>
          <w:p w14:paraId="6DB1D5A1"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实践能力</w:t>
            </w:r>
          </w:p>
        </w:tc>
        <w:tc>
          <w:tcPr>
            <w:tcW w:w="7441" w:type="dxa"/>
            <w:shd w:val="clear" w:color="000000" w:fill="FFFFFF"/>
            <w:noWrap/>
            <w:vAlign w:val="center"/>
            <w:hideMark/>
          </w:tcPr>
          <w:p w14:paraId="25160680"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1.标准应明确教师须具备解决生产现场实际问题的实践操作能力，能独立完成典型工作任务。</w:t>
            </w:r>
          </w:p>
          <w:p w14:paraId="5A5D62E5" w14:textId="59042302"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2.对实验实训设备操作、工艺流程实施、故障诊断排除等技能提出分级要求，鼓励取得高级工以上职业资格或技能等级证书。</w:t>
            </w:r>
          </w:p>
        </w:tc>
      </w:tr>
      <w:tr w:rsidR="00F978BD" w:rsidRPr="00F978BD" w14:paraId="42D55A11" w14:textId="77777777" w:rsidTr="00F978BD">
        <w:trPr>
          <w:trHeight w:val="1258"/>
        </w:trPr>
        <w:tc>
          <w:tcPr>
            <w:tcW w:w="855" w:type="dxa"/>
            <w:shd w:val="clear" w:color="000000" w:fill="FFFFFF"/>
            <w:noWrap/>
            <w:vAlign w:val="center"/>
            <w:hideMark/>
          </w:tcPr>
          <w:p w14:paraId="174B9534"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教学能力</w:t>
            </w:r>
          </w:p>
        </w:tc>
        <w:tc>
          <w:tcPr>
            <w:tcW w:w="7441" w:type="dxa"/>
            <w:shd w:val="clear" w:color="000000" w:fill="FFFFFF"/>
            <w:noWrap/>
            <w:vAlign w:val="center"/>
            <w:hideMark/>
          </w:tcPr>
          <w:p w14:paraId="05C757E5"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1.标准应涵盖教学设计、实施、评价及信息技术应用能力，体现“以学生为中心”的职教理念。</w:t>
            </w:r>
          </w:p>
          <w:p w14:paraId="49A7BB9D" w14:textId="4B83AE81"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2.明确教师实施项目化、案例化、情境化教学以及开展课程思政的能力要求。</w:t>
            </w:r>
          </w:p>
        </w:tc>
      </w:tr>
      <w:tr w:rsidR="00F978BD" w:rsidRPr="00F978BD" w14:paraId="41B0961D" w14:textId="77777777" w:rsidTr="00F978BD">
        <w:trPr>
          <w:trHeight w:val="964"/>
        </w:trPr>
        <w:tc>
          <w:tcPr>
            <w:tcW w:w="855" w:type="dxa"/>
            <w:shd w:val="clear" w:color="000000" w:fill="FFFFFF"/>
            <w:noWrap/>
            <w:vAlign w:val="center"/>
            <w:hideMark/>
          </w:tcPr>
          <w:p w14:paraId="596F7810"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教研能力</w:t>
            </w:r>
          </w:p>
        </w:tc>
        <w:tc>
          <w:tcPr>
            <w:tcW w:w="7441" w:type="dxa"/>
            <w:shd w:val="clear" w:color="000000" w:fill="FFFFFF"/>
            <w:noWrap/>
            <w:vAlign w:val="center"/>
            <w:hideMark/>
          </w:tcPr>
          <w:p w14:paraId="3372B647"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1.标准应要求教师具备教育教学研究、课程开发与教学改革能力，能基于教学问题开展研究。</w:t>
            </w:r>
          </w:p>
          <w:p w14:paraId="245DE896" w14:textId="52C78E4B"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2.在课题研究、教学成果、教材开发等方面的</w:t>
            </w:r>
            <w:r>
              <w:rPr>
                <w:rFonts w:ascii="仿宋" w:eastAsia="仿宋" w:hAnsi="仿宋" w:cs="Segoe UI" w:hint="eastAsia"/>
                <w:color w:val="0F1115"/>
                <w:kern w:val="0"/>
                <w:szCs w:val="22"/>
                <w14:ligatures w14:val="none"/>
              </w:rPr>
              <w:t>量化要求</w:t>
            </w:r>
            <w:r w:rsidRPr="00F978BD">
              <w:rPr>
                <w:rFonts w:ascii="仿宋" w:eastAsia="仿宋" w:hAnsi="仿宋" w:cs="Segoe UI"/>
                <w:color w:val="0F1115"/>
                <w:kern w:val="0"/>
                <w:szCs w:val="22"/>
                <w14:ligatures w14:val="none"/>
              </w:rPr>
              <w:t>。</w:t>
            </w:r>
          </w:p>
        </w:tc>
      </w:tr>
      <w:tr w:rsidR="00F978BD" w:rsidRPr="00F978BD" w14:paraId="6250D6B8" w14:textId="77777777" w:rsidTr="00F978BD">
        <w:trPr>
          <w:trHeight w:val="964"/>
        </w:trPr>
        <w:tc>
          <w:tcPr>
            <w:tcW w:w="855" w:type="dxa"/>
            <w:shd w:val="clear" w:color="000000" w:fill="FFFFFF"/>
            <w:noWrap/>
            <w:vAlign w:val="center"/>
            <w:hideMark/>
          </w:tcPr>
          <w:p w14:paraId="2F162AC3"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社会服务</w:t>
            </w:r>
          </w:p>
        </w:tc>
        <w:tc>
          <w:tcPr>
            <w:tcW w:w="7441" w:type="dxa"/>
            <w:shd w:val="clear" w:color="000000" w:fill="FFFFFF"/>
            <w:noWrap/>
            <w:vAlign w:val="center"/>
            <w:hideMark/>
          </w:tcPr>
          <w:p w14:paraId="02320962"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1.标准应体现教师运用专业知识和技术服务社会、服务产业的能力，包括技术咨询、成果转化、培训等方面。</w:t>
            </w:r>
          </w:p>
          <w:p w14:paraId="00734CAA" w14:textId="549E957F"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2.将社会服务工作量、经济（社会）效益纳入能力考核指标。</w:t>
            </w:r>
          </w:p>
        </w:tc>
      </w:tr>
      <w:tr w:rsidR="00F978BD" w:rsidRPr="00F978BD" w14:paraId="288A55C8" w14:textId="77777777" w:rsidTr="00F978BD">
        <w:trPr>
          <w:trHeight w:val="964"/>
        </w:trPr>
        <w:tc>
          <w:tcPr>
            <w:tcW w:w="855" w:type="dxa"/>
            <w:shd w:val="clear" w:color="000000" w:fill="FFFFFF"/>
            <w:noWrap/>
            <w:vAlign w:val="center"/>
            <w:hideMark/>
          </w:tcPr>
          <w:p w14:paraId="1ECDC62D"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教学团队建设</w:t>
            </w:r>
          </w:p>
        </w:tc>
        <w:tc>
          <w:tcPr>
            <w:tcW w:w="7441" w:type="dxa"/>
            <w:shd w:val="clear" w:color="000000" w:fill="FFFFFF"/>
            <w:noWrap/>
            <w:vAlign w:val="center"/>
            <w:hideMark/>
          </w:tcPr>
          <w:p w14:paraId="48516D2C"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1.标准应对教师参与团队协作、指导青年教师、引领专业发展等方面提出要求。</w:t>
            </w:r>
          </w:p>
          <w:p w14:paraId="57385E66" w14:textId="76D61A68"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2.强调教师在“双师型”教学团队、校企混编团队中的角色与贡献。</w:t>
            </w:r>
          </w:p>
        </w:tc>
      </w:tr>
      <w:tr w:rsidR="00F978BD" w:rsidRPr="00F978BD" w14:paraId="77304643" w14:textId="77777777" w:rsidTr="00F978BD">
        <w:trPr>
          <w:trHeight w:val="2204"/>
        </w:trPr>
        <w:tc>
          <w:tcPr>
            <w:tcW w:w="855" w:type="dxa"/>
            <w:shd w:val="clear" w:color="000000" w:fill="FFFFFF"/>
            <w:noWrap/>
            <w:vAlign w:val="center"/>
            <w:hideMark/>
          </w:tcPr>
          <w:p w14:paraId="67CF01F6" w14:textId="77777777" w:rsidR="00F978BD" w:rsidRPr="00F978BD" w:rsidRDefault="00F978BD" w:rsidP="00F978BD">
            <w:pPr>
              <w:widowControl/>
              <w:spacing w:after="0" w:line="240" w:lineRule="auto"/>
              <w:jc w:val="center"/>
              <w:rPr>
                <w:rFonts w:ascii="仿宋" w:eastAsia="仿宋" w:hAnsi="仿宋" w:cs="Segoe UI"/>
                <w:b/>
                <w:bCs/>
                <w:color w:val="0F1115"/>
                <w:kern w:val="0"/>
                <w:szCs w:val="22"/>
                <w14:ligatures w14:val="none"/>
              </w:rPr>
            </w:pPr>
            <w:r w:rsidRPr="00F978BD">
              <w:rPr>
                <w:rFonts w:ascii="仿宋" w:eastAsia="仿宋" w:hAnsi="仿宋" w:cs="Segoe UI"/>
                <w:b/>
                <w:bCs/>
                <w:color w:val="0F1115"/>
                <w:kern w:val="0"/>
                <w:szCs w:val="22"/>
                <w14:ligatures w14:val="none"/>
              </w:rPr>
              <w:t>标准研制过程与成果</w:t>
            </w:r>
          </w:p>
        </w:tc>
        <w:tc>
          <w:tcPr>
            <w:tcW w:w="7441" w:type="dxa"/>
            <w:shd w:val="clear" w:color="000000" w:fill="FFFFFF"/>
            <w:noWrap/>
            <w:vAlign w:val="center"/>
            <w:hideMark/>
          </w:tcPr>
          <w:p w14:paraId="4CD3CD9B"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1.标准研制须基于广泛调研，覆盖不同类型院校和代表性企业，调研数据详实。</w:t>
            </w:r>
          </w:p>
          <w:p w14:paraId="7483A2B9" w14:textId="77777777" w:rsidR="00F978BD" w:rsidRPr="00F978BD" w:rsidRDefault="00F978BD" w:rsidP="00F978BD">
            <w:pPr>
              <w:widowControl/>
              <w:spacing w:after="0" w:line="240" w:lineRule="auto"/>
              <w:rPr>
                <w:rFonts w:ascii="仿宋" w:eastAsia="仿宋" w:hAnsi="仿宋" w:cs="Segoe UI" w:hint="eastAsia"/>
                <w:color w:val="0F1115"/>
                <w:kern w:val="0"/>
                <w:szCs w:val="22"/>
                <w14:ligatures w14:val="none"/>
              </w:rPr>
            </w:pPr>
            <w:r w:rsidRPr="00F978BD">
              <w:rPr>
                <w:rFonts w:ascii="仿宋" w:eastAsia="仿宋" w:hAnsi="仿宋" w:cs="Segoe UI"/>
                <w:color w:val="0F1115"/>
                <w:kern w:val="0"/>
                <w:szCs w:val="22"/>
                <w14:ligatures w14:val="none"/>
              </w:rPr>
              <w:t>2.标准内容完整，结构合理，能力指标体系可测量、可评价，并能与教师培养培训、考核评价体系对接。</w:t>
            </w:r>
          </w:p>
          <w:p w14:paraId="0B8B39AD" w14:textId="7906973A" w:rsidR="00F978BD" w:rsidRPr="00F978BD" w:rsidRDefault="00F978BD" w:rsidP="00F978BD">
            <w:pPr>
              <w:spacing w:after="0" w:line="240" w:lineRule="auto"/>
              <w:rPr>
                <w:rFonts w:ascii="仿宋" w:eastAsia="仿宋" w:hAnsi="仿宋" w:cs="Segoe UI"/>
                <w:color w:val="0F1115"/>
                <w:kern w:val="0"/>
                <w:szCs w:val="22"/>
                <w14:ligatures w14:val="none"/>
              </w:rPr>
            </w:pPr>
            <w:r w:rsidRPr="00F978BD">
              <w:rPr>
                <w:rFonts w:ascii="仿宋" w:eastAsia="仿宋" w:hAnsi="仿宋" w:cs="Segoe UI"/>
                <w:color w:val="0F1115"/>
                <w:kern w:val="0"/>
                <w:szCs w:val="22"/>
                <w14:ligatures w14:val="none"/>
              </w:rPr>
              <w:t>3.研覆盖不同区域院校不少于</w:t>
            </w:r>
            <w:r w:rsidRPr="00F978BD">
              <w:rPr>
                <w:rFonts w:ascii="仿宋" w:eastAsia="仿宋" w:hAnsi="仿宋" w:cs="Segoe UI"/>
                <w:b/>
                <w:bCs/>
                <w:color w:val="0F1115"/>
                <w:kern w:val="0"/>
                <w:szCs w:val="22"/>
                <w14:ligatures w14:val="none"/>
              </w:rPr>
              <w:t>10所</w:t>
            </w:r>
            <w:r w:rsidRPr="00F978BD">
              <w:rPr>
                <w:rFonts w:ascii="仿宋" w:eastAsia="仿宋" w:hAnsi="仿宋" w:cs="Segoe UI"/>
                <w:color w:val="0F1115"/>
                <w:kern w:val="0"/>
                <w:szCs w:val="22"/>
                <w14:ligatures w14:val="none"/>
              </w:rPr>
              <w:t>、企业不少于</w:t>
            </w:r>
            <w:r w:rsidRPr="00F978BD">
              <w:rPr>
                <w:rFonts w:ascii="仿宋" w:eastAsia="仿宋" w:hAnsi="仿宋" w:cs="Segoe UI"/>
                <w:b/>
                <w:bCs/>
                <w:color w:val="0F1115"/>
                <w:kern w:val="0"/>
                <w:szCs w:val="22"/>
                <w14:ligatures w14:val="none"/>
              </w:rPr>
              <w:t>15家</w:t>
            </w:r>
            <w:r w:rsidRPr="00F978BD">
              <w:rPr>
                <w:rFonts w:ascii="仿宋" w:eastAsia="仿宋" w:hAnsi="仿宋" w:cs="Segoe UI"/>
                <w:color w:val="0F1115"/>
                <w:kern w:val="0"/>
                <w:szCs w:val="22"/>
                <w14:ligatures w14:val="none"/>
              </w:rPr>
              <w:t>，形成不少于</w:t>
            </w:r>
            <w:r w:rsidRPr="00F978BD">
              <w:rPr>
                <w:rFonts w:ascii="仿宋" w:eastAsia="仿宋" w:hAnsi="仿宋" w:cs="Segoe UI"/>
                <w:b/>
                <w:bCs/>
                <w:color w:val="0F1115"/>
                <w:kern w:val="0"/>
                <w:szCs w:val="22"/>
                <w14:ligatures w14:val="none"/>
              </w:rPr>
              <w:t>1万字</w:t>
            </w:r>
            <w:r w:rsidRPr="00F978BD">
              <w:rPr>
                <w:rFonts w:ascii="仿宋" w:eastAsia="仿宋" w:hAnsi="仿宋" w:cs="Segoe UI"/>
                <w:color w:val="0F1115"/>
                <w:kern w:val="0"/>
                <w:szCs w:val="22"/>
                <w14:ligatures w14:val="none"/>
              </w:rPr>
              <w:t>调研报告；标准能力指标条目不少于</w:t>
            </w:r>
            <w:r w:rsidRPr="00F978BD">
              <w:rPr>
                <w:rFonts w:ascii="仿宋" w:eastAsia="仿宋" w:hAnsi="仿宋" w:cs="Segoe UI"/>
                <w:b/>
                <w:bCs/>
                <w:color w:val="0F1115"/>
                <w:kern w:val="0"/>
                <w:szCs w:val="22"/>
                <w14:ligatures w14:val="none"/>
              </w:rPr>
              <w:t>30条</w:t>
            </w:r>
            <w:r w:rsidRPr="00F978BD">
              <w:rPr>
                <w:rFonts w:ascii="仿宋" w:eastAsia="仿宋" w:hAnsi="仿宋" w:cs="Segoe UI"/>
                <w:color w:val="0F1115"/>
                <w:kern w:val="0"/>
                <w:szCs w:val="22"/>
                <w14:ligatures w14:val="none"/>
              </w:rPr>
              <w:t>；在不少于</w:t>
            </w:r>
            <w:r w:rsidRPr="00F978BD">
              <w:rPr>
                <w:rFonts w:ascii="仿宋" w:eastAsia="仿宋" w:hAnsi="仿宋" w:cs="Segoe UI"/>
                <w:b/>
                <w:bCs/>
                <w:color w:val="0F1115"/>
                <w:kern w:val="0"/>
                <w:szCs w:val="22"/>
                <w14:ligatures w14:val="none"/>
              </w:rPr>
              <w:t>2所</w:t>
            </w:r>
            <w:r w:rsidRPr="00F978BD">
              <w:rPr>
                <w:rFonts w:ascii="仿宋" w:eastAsia="仿宋" w:hAnsi="仿宋" w:cs="Segoe UI"/>
                <w:color w:val="0F1115"/>
                <w:kern w:val="0"/>
                <w:szCs w:val="22"/>
                <w14:ligatures w14:val="none"/>
              </w:rPr>
              <w:t>院校试点应用，覆盖教师不少于</w:t>
            </w:r>
            <w:r>
              <w:rPr>
                <w:rFonts w:ascii="仿宋" w:eastAsia="仿宋" w:hAnsi="仿宋" w:cs="Segoe UI" w:hint="eastAsia"/>
                <w:b/>
                <w:bCs/>
                <w:color w:val="0F1115"/>
                <w:kern w:val="0"/>
                <w:szCs w:val="22"/>
                <w14:ligatures w14:val="none"/>
              </w:rPr>
              <w:t>2</w:t>
            </w:r>
            <w:r w:rsidRPr="00F978BD">
              <w:rPr>
                <w:rFonts w:ascii="仿宋" w:eastAsia="仿宋" w:hAnsi="仿宋" w:cs="Segoe UI"/>
                <w:b/>
                <w:bCs/>
                <w:color w:val="0F1115"/>
                <w:kern w:val="0"/>
                <w:szCs w:val="22"/>
                <w14:ligatures w14:val="none"/>
              </w:rPr>
              <w:t>0人</w:t>
            </w:r>
            <w:r w:rsidRPr="00F978BD">
              <w:rPr>
                <w:rFonts w:ascii="仿宋" w:eastAsia="仿宋" w:hAnsi="仿宋" w:cs="Segoe UI"/>
                <w:color w:val="0F1115"/>
                <w:kern w:val="0"/>
                <w:szCs w:val="22"/>
                <w14:ligatures w14:val="none"/>
              </w:rPr>
              <w:t>；形成完整的专业教师标准文本。</w:t>
            </w:r>
          </w:p>
        </w:tc>
      </w:tr>
    </w:tbl>
    <w:p w14:paraId="14421520" w14:textId="77777777" w:rsidR="004D7A45" w:rsidRPr="004D7A45" w:rsidRDefault="004D7A45">
      <w:pPr>
        <w:rPr>
          <w:rFonts w:hint="eastAsia"/>
        </w:rPr>
      </w:pPr>
    </w:p>
    <w:sectPr w:rsidR="004D7A45" w:rsidRPr="004D7A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A45"/>
    <w:rsid w:val="004D7A45"/>
    <w:rsid w:val="00550BDD"/>
    <w:rsid w:val="00C11B57"/>
    <w:rsid w:val="00D60019"/>
    <w:rsid w:val="00F97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D1628"/>
  <w15:chartTrackingRefBased/>
  <w15:docId w15:val="{59225E99-8B7A-4175-8B8C-5BB8209D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D7A4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D7A4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D7A4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D7A4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D7A4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D7A4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D7A4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D7A4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D7A4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D7A4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D7A4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D7A4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D7A45"/>
    <w:rPr>
      <w:rFonts w:cstheme="majorBidi"/>
      <w:color w:val="0F4761" w:themeColor="accent1" w:themeShade="BF"/>
      <w:sz w:val="28"/>
      <w:szCs w:val="28"/>
    </w:rPr>
  </w:style>
  <w:style w:type="character" w:customStyle="1" w:styleId="50">
    <w:name w:val="标题 5 字符"/>
    <w:basedOn w:val="a0"/>
    <w:link w:val="5"/>
    <w:uiPriority w:val="9"/>
    <w:semiHidden/>
    <w:rsid w:val="004D7A45"/>
    <w:rPr>
      <w:rFonts w:cstheme="majorBidi"/>
      <w:color w:val="0F4761" w:themeColor="accent1" w:themeShade="BF"/>
      <w:sz w:val="24"/>
    </w:rPr>
  </w:style>
  <w:style w:type="character" w:customStyle="1" w:styleId="60">
    <w:name w:val="标题 6 字符"/>
    <w:basedOn w:val="a0"/>
    <w:link w:val="6"/>
    <w:uiPriority w:val="9"/>
    <w:semiHidden/>
    <w:rsid w:val="004D7A45"/>
    <w:rPr>
      <w:rFonts w:cstheme="majorBidi"/>
      <w:b/>
      <w:bCs/>
      <w:color w:val="0F4761" w:themeColor="accent1" w:themeShade="BF"/>
    </w:rPr>
  </w:style>
  <w:style w:type="character" w:customStyle="1" w:styleId="70">
    <w:name w:val="标题 7 字符"/>
    <w:basedOn w:val="a0"/>
    <w:link w:val="7"/>
    <w:uiPriority w:val="9"/>
    <w:semiHidden/>
    <w:rsid w:val="004D7A45"/>
    <w:rPr>
      <w:rFonts w:cstheme="majorBidi"/>
      <w:b/>
      <w:bCs/>
      <w:color w:val="595959" w:themeColor="text1" w:themeTint="A6"/>
    </w:rPr>
  </w:style>
  <w:style w:type="character" w:customStyle="1" w:styleId="80">
    <w:name w:val="标题 8 字符"/>
    <w:basedOn w:val="a0"/>
    <w:link w:val="8"/>
    <w:uiPriority w:val="9"/>
    <w:semiHidden/>
    <w:rsid w:val="004D7A45"/>
    <w:rPr>
      <w:rFonts w:cstheme="majorBidi"/>
      <w:color w:val="595959" w:themeColor="text1" w:themeTint="A6"/>
    </w:rPr>
  </w:style>
  <w:style w:type="character" w:customStyle="1" w:styleId="90">
    <w:name w:val="标题 9 字符"/>
    <w:basedOn w:val="a0"/>
    <w:link w:val="9"/>
    <w:uiPriority w:val="9"/>
    <w:semiHidden/>
    <w:rsid w:val="004D7A45"/>
    <w:rPr>
      <w:rFonts w:eastAsiaTheme="majorEastAsia" w:cstheme="majorBidi"/>
      <w:color w:val="595959" w:themeColor="text1" w:themeTint="A6"/>
    </w:rPr>
  </w:style>
  <w:style w:type="paragraph" w:styleId="a3">
    <w:name w:val="Title"/>
    <w:basedOn w:val="a"/>
    <w:next w:val="a"/>
    <w:link w:val="a4"/>
    <w:uiPriority w:val="10"/>
    <w:qFormat/>
    <w:rsid w:val="004D7A4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D7A4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7A4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D7A4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7A45"/>
    <w:pPr>
      <w:spacing w:before="160"/>
      <w:jc w:val="center"/>
    </w:pPr>
    <w:rPr>
      <w:i/>
      <w:iCs/>
      <w:color w:val="404040" w:themeColor="text1" w:themeTint="BF"/>
    </w:rPr>
  </w:style>
  <w:style w:type="character" w:customStyle="1" w:styleId="a8">
    <w:name w:val="引用 字符"/>
    <w:basedOn w:val="a0"/>
    <w:link w:val="a7"/>
    <w:uiPriority w:val="29"/>
    <w:rsid w:val="004D7A45"/>
    <w:rPr>
      <w:i/>
      <w:iCs/>
      <w:color w:val="404040" w:themeColor="text1" w:themeTint="BF"/>
    </w:rPr>
  </w:style>
  <w:style w:type="paragraph" w:styleId="a9">
    <w:name w:val="List Paragraph"/>
    <w:basedOn w:val="a"/>
    <w:uiPriority w:val="34"/>
    <w:qFormat/>
    <w:rsid w:val="004D7A45"/>
    <w:pPr>
      <w:ind w:left="720"/>
      <w:contextualSpacing/>
    </w:pPr>
  </w:style>
  <w:style w:type="character" w:styleId="aa">
    <w:name w:val="Intense Emphasis"/>
    <w:basedOn w:val="a0"/>
    <w:uiPriority w:val="21"/>
    <w:qFormat/>
    <w:rsid w:val="004D7A45"/>
    <w:rPr>
      <w:i/>
      <w:iCs/>
      <w:color w:val="0F4761" w:themeColor="accent1" w:themeShade="BF"/>
    </w:rPr>
  </w:style>
  <w:style w:type="paragraph" w:styleId="ab">
    <w:name w:val="Intense Quote"/>
    <w:basedOn w:val="a"/>
    <w:next w:val="a"/>
    <w:link w:val="ac"/>
    <w:uiPriority w:val="30"/>
    <w:qFormat/>
    <w:rsid w:val="004D7A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D7A45"/>
    <w:rPr>
      <w:i/>
      <w:iCs/>
      <w:color w:val="0F4761" w:themeColor="accent1" w:themeShade="BF"/>
    </w:rPr>
  </w:style>
  <w:style w:type="character" w:styleId="ad">
    <w:name w:val="Intense Reference"/>
    <w:basedOn w:val="a0"/>
    <w:uiPriority w:val="32"/>
    <w:qFormat/>
    <w:rsid w:val="004D7A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2</cp:revision>
  <dcterms:created xsi:type="dcterms:W3CDTF">2026-05-19T08:21:00Z</dcterms:created>
  <dcterms:modified xsi:type="dcterms:W3CDTF">2026-05-19T08:29:00Z</dcterms:modified>
</cp:coreProperties>
</file>